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1aa0fb39be96430d"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233</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ASOCIATIA G.A.L. "POIANA VLADICAI"</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I3. SMAT VILLAGE - SATUL INTELIGENT, IN TERITORIUL GAL POIANA VLADICAI</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Observații</w:t>
            </w:r>
            <w:r>
              <w:rPr>
                <w:rFonts w:ascii="Cambria" w:hAnsi="Cambria"/>
                <w:b w:val="false"/>
                <w:color w:val="FFFFFF"/>
                <w:sz w:val="24"/>
              </w:rPr>
              <w:t> 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pPr>
              <w:spacing w:line="360" w:lineRule="auto"/>
              <w:ind w:left="0" w:right="0" w:firstLine="493"/>
            </w:pPr>
            <w:r>
              <w:rPr>
                <w:rFonts w:ascii="Cambria Bold" w:hAnsi="Cambria Bold"/>
                <w:b/>
                <w:color w:val="1B4167"/>
                <w:sz w:val="24"/>
              </w:rPr>
              <w:t>PROIECTUL VA FI INOVATIV IN CONTEXT LOCAL</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Caracterul inovativ în context local:</w:t>
            </w:r>
          </w:p>
          <w:p>
            <w:pPr>
              <w:pStyle w:val="ListParagraph"/>
              <w:numPr>
                <w:ilvl w:val="0"/>
                <w:numId w:val="2"/>
              </w:numPr>
            </w:pPr>
            <w:r>
              <w:rPr>
                <w:rFonts w:ascii="Cambria" w:hAnsi="Cambria"/>
                <w:b w:val="false"/>
                <w:sz w:val="24"/>
              </w:rPr>
              <w:t>Proiectul trebuie să aibă un caracter inovativ raportat la aria geografică a UAT.</w:t>
            </w:r>
          </w:p>
          <w:p>
            <w:pPr>
              <w:pStyle w:val="ListParagraph"/>
              <w:numPr>
                <w:ilvl w:val="0"/>
                <w:numId w:val="2"/>
              </w:numPr>
            </w:pPr>
            <w:r>
              <w:rPr>
                <w:rFonts w:ascii="Cambria" w:hAnsi="Cambria"/>
                <w:b w:val="false"/>
                <w:sz w:val="24"/>
              </w:rPr>
              <w:t>Solicitantul va bifa obligatoriu opțiunea „DA” la secțiunea din Cererea de Finanțare referitoare la operațiuni inovative în context local și va justifica această alegere în caseta dedicată.</w:t>
            </w:r>
          </w:p>
          <w:p>
            <w:pPr>
              <w:spacing w:line="360" w:lineRule="auto"/>
              <w:ind w:left="0" w:right="0" w:firstLine="493"/>
            </w:pPr>
            <w:r>
              <w:rPr>
                <w:rFonts w:ascii="Cambria" w:hAnsi="Cambria"/>
                <w:b w:val="false"/>
                <w:sz w:val="24"/>
              </w:rPr>
              <w:t>Inovația poate consta în utilizarea unor tehnologii verzi noi pentru</w:t>
            </w:r>
          </w:p>
          <w:p>
            <w:pPr>
              <w:spacing w:line="360" w:lineRule="auto"/>
              <w:ind w:left="0" w:right="0" w:firstLine="493"/>
            </w:pPr>
            <w:r>
              <w:rPr>
                <w:rFonts w:ascii="Cambria" w:hAnsi="Cambria"/>
                <w:b w:val="false"/>
                <w:sz w:val="24"/>
              </w:rPr>
              <w:t>zonă, metode de lucru inedite în educația ecologică sau soluții digitale de monitorizare a mediului care nu au mai fost implementate anterior în teritoriu, prin SDL 2023-2027.</w:t>
            </w:r>
          </w:p>
          <w:p>
            <w:pPr>
              <w:spacing w:line="360" w:lineRule="auto"/>
              <w:ind w:left="0" w:right="0" w:firstLine="493"/>
            </w:pPr>
            <w:r>
              <w:rPr>
                <w:rFonts w:ascii="Cambria" w:hAnsi="Cambria"/>
                <w:b w:val="false"/>
                <w:sz w:val="24"/>
                <w:u w:val="single"/>
              </w:rPr>
              <w:t>Lipsa demonstrării oricăreia dintre aceste condiții în cadrul Cererii de Finanțare sau al Memoriului Justificativ va conduce la respingerea proiectului ca neeligibil.</w:t>
            </w:r>
          </w:p>
          <w:p>
            <w:pPr>
              <w:spacing w:line="360" w:lineRule="auto"/>
              <w:ind w:left="0" w:right="0" w:firstLine="493"/>
            </w:pPr>
            <w:r>
              <w:rPr>
                <w:rFonts w:ascii="Cambria Bold" w:hAnsi="Cambria Bold"/>
                <w:b/>
                <w:sz w:val="24"/>
              </w:rPr>
              <w:t>Documentul unde se verifică:</w:t>
            </w:r>
          </w:p>
          <w:p>
            <w:pPr>
              <w:spacing w:line="360" w:lineRule="auto"/>
              <w:ind w:left="0" w:right="0" w:firstLine="493"/>
            </w:pPr>
            <w:r>
              <w:rPr>
                <w:rFonts w:ascii="Cambria Bold" w:hAnsi="Cambria Bold"/>
                <w:b/>
                <w:sz w:val="24"/>
              </w:rPr>
              <w:t>Studiul de fezabilitate/DALI/Memoriu justificativ</w:t>
            </w:r>
          </w:p>
          <w:p>
            <w:pPr>
              <w:spacing w:line="360" w:lineRule="auto"/>
              <w:ind w:left="0" w:right="0" w:firstLine="493"/>
            </w:pPr>
            <w:r>
              <w:rPr>
                <w:rFonts w:ascii="Cambria Bold" w:hAnsi="Cambria Bold"/>
                <w:b/>
                <w:sz w:val="24"/>
              </w:rPr>
              <w:t>Cerere de Finanțare</w:t>
            </w:r>
          </w:p>
          <w:p>
            <w:pPr>
              <w:spacing w:line="360" w:lineRule="auto"/>
              <w:ind w:left="0" w:right="0" w:firstLine="493"/>
            </w:pPr>
            <w:r>
              <w:rPr>
                <w:rFonts w:ascii="Cambria Bold" w:hAnsi="Cambria Bold"/>
                <w:b/>
                <w:sz w:val="24"/>
              </w:rPr>
              <w:t>Anexa 10 - Declarație privind elementele inovative -  </w:t>
            </w:r>
            <w:r>
              <w:rPr>
                <w:rFonts w:ascii="Cambria" w:hAnsi="Cambria"/>
                <w:b w:val="false"/>
                <w:sz w:val="24"/>
              </w:rPr>
              <w:t>Asumarea pe</w:t>
            </w:r>
          </w:p>
          <w:p>
            <w:pPr>
              <w:spacing w:line="360" w:lineRule="auto"/>
              <w:ind w:left="0" w:right="0" w:firstLine="493"/>
            </w:pPr>
            <w:r>
              <w:rPr>
                <w:rFonts w:ascii="Cambria" w:hAnsi="Cambria"/>
                <w:b w:val="false"/>
                <w:sz w:val="24"/>
              </w:rPr>
              <w:t>proprie răspundere a caracterului de noutate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PROIECTUL SA DESERVEASCA COMUNITATEA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Destinația și utilitatea publică a proiectului:</w:t>
            </w:r>
          </w:p>
          <w:p>
            <w:pPr>
              <w:pStyle w:val="ListParagraph"/>
              <w:numPr>
                <w:ilvl w:val="0"/>
                <w:numId w:val="2"/>
              </w:numPr>
            </w:pPr>
            <w:r>
              <w:rPr>
                <w:rFonts w:ascii="Cambria" w:hAnsi="Cambria"/>
                <w:b w:val="false"/>
                <w:sz w:val="24"/>
              </w:rPr>
              <w:t>Proiectul trebuie să fie conceput astfel încât să deservească intreaga comunitate locală sau grupuri  largi din comunitate  (minimum 4000 locuitori).</w:t>
            </w:r>
          </w:p>
          <w:p>
            <w:pPr>
              <w:pStyle w:val="ListParagraph"/>
              <w:numPr>
                <w:ilvl w:val="0"/>
                <w:numId w:val="2"/>
              </w:numPr>
            </w:pPr>
            <w:r>
              <w:rPr>
                <w:rFonts w:ascii="Cambria" w:hAnsi="Cambria"/>
                <w:b w:val="false"/>
                <w:sz w:val="24"/>
              </w:rPr>
              <w:t>Rezultatele investiției prestate trebuie să fie de utilitate publică, nefondata pe un scop economic (nongeneratoare de profit) și accesibile în mod gratuit membrilor comunității.</w:t>
            </w:r>
          </w:p>
          <w:p>
            <w:pPr>
              <w:spacing w:line="360" w:lineRule="auto"/>
              <w:ind w:left="0" w:right="0" w:firstLine="493"/>
            </w:pPr>
            <w:r>
              <w:rPr>
                <w:rFonts w:ascii="Cambria" w:hAnsi="Cambria"/>
                <w:b w:val="false"/>
                <w:sz w:val="24"/>
                <w:u w:val="single"/>
              </w:rPr>
              <w:t>Lipsa demonstrării oricăreia dintre aceste condiții în cadrul Cererii de Finanțare sau al Memoriului Justificativ va conduce la respingerea proiectului ca neeligibil.</w:t>
            </w:r>
          </w:p>
          <w:p>
            <w:pPr>
              <w:spacing w:line="360" w:lineRule="auto"/>
              <w:ind w:left="0" w:right="0" w:firstLine="493"/>
            </w:pPr>
            <w:r>
              <w:rPr>
                <w:rFonts w:ascii="Cambria Bold" w:hAnsi="Cambria Bold"/>
                <w:b/>
                <w:sz w:val="24"/>
              </w:rPr>
              <w:t>Documentul unde se verifică: </w:t>
            </w:r>
          </w:p>
          <w:p>
            <w:pPr>
              <w:pStyle w:val="ListParagraph"/>
              <w:numPr>
                <w:ilvl w:val="0"/>
                <w:numId w:val="3"/>
              </w:numPr>
            </w:pPr>
            <w:r>
              <w:rPr>
                <w:rFonts w:ascii="Cambria" w:hAnsi="Cambria"/>
                <w:b w:val="false"/>
                <w:sz w:val="24"/>
              </w:rPr>
              <w:t>Studiul de fezabilitate/DALI/Memoriu justificativ </w:t>
            </w:r>
          </w:p>
          <w:p>
            <w:pPr>
              <w:pStyle w:val="ListParagraph"/>
              <w:numPr>
                <w:ilvl w:val="0"/>
                <w:numId w:val="3"/>
              </w:numPr>
            </w:pPr>
            <w:r>
              <w:rPr>
                <w:rFonts w:ascii="Cambria" w:hAnsi="Cambria"/>
                <w:b w:val="false"/>
                <w:sz w:val="24"/>
              </w:rPr>
              <w:t>Cerere de Finanțare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PROIECTUL SA ADUCA BENEFICII COMUNITATII LOCALE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verifică:Pentru Autoritati publice localeStrategia locală / Planul de dezvoltare locală al UAT-ului - Adoptată prin hotărâre de consiliu local (HCL) - se verifică dacădocumentul conține obiective, măsuri sau acțiuni legate de: SmartVillage (ex: infrastructură digitală, servicii publice inteligente, agricultură digitală, soluții IT în mediul rural), E-guvernare (ex: portaluri online, servicii administrative digitale, arhivare electronică), Digitalizare (ex: digitalizarea proceselor interne, sisteme informatice, platforme de interacțiune cu cetățenii)</w:t>
            </w:r>
            <w:r>
              <w:rPr>
                <w:rFonts w:ascii="Cambria Bold" w:hAnsi="Cambria Bold"/>
                <w:b/>
                <w:sz w:val="24"/>
              </w:rPr>
              <w:t>Documentul unde se verifică:</w:t>
            </w:r>
          </w:p>
          <w:p>
            <w:pPr>
              <w:pStyle w:val="ListParagraph"/>
              <w:numPr>
                <w:ilvl w:val="0"/>
                <w:numId w:val="2"/>
              </w:numPr>
            </w:pPr>
            <w:r>
              <w:rPr>
                <w:rFonts w:ascii="Cambria" w:hAnsi="Cambria"/>
                <w:b w:val="false"/>
                <w:sz w:val="24"/>
              </w:rPr>
              <w:t>Cererea de finanțare și anexele tehnice</w:t>
            </w:r>
          </w:p>
          <w:p>
            <w:r>
              <w:rPr>
                <w:rFonts w:ascii="Cambria" w:hAnsi="Cambria"/>
                <w:b w:val="false"/>
                <w:sz w:val="24"/>
              </w:rPr>
              <w:t>Pentru Asociaţii şi fundaţii</w:t>
            </w:r>
          </w:p>
          <w:p>
            <w:pPr>
              <w:pStyle w:val="ListParagraph"/>
              <w:numPr>
                <w:ilvl w:val="0"/>
                <w:numId w:val="4"/>
              </w:numPr>
            </w:pPr>
            <w:r>
              <w:rPr>
                <w:rFonts w:ascii="Cambria" w:hAnsi="Cambria"/>
                <w:b w:val="false"/>
                <w:sz w:val="24"/>
              </w:rPr>
              <w:t>Certificat de înregistrare în registrul asociaţiilor şi fundaţiilor; Certificat de înregistrare fiscală; Actul de înființare și Statutul ONG</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rPr>
              <w:t> SE ADAUGA CRITERIILE DE ELIGIBILITATE LOCALE SPECIFICE IN CADRUL SECTIUNII "ELEMENTE COMUNE TIPURILOR DE INTREVENTIE FEADR DESCRISE IN SDL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Bold" w:hAnsi="Cambria Bold"/>
                <w:b/>
                <w:sz w:val="24"/>
              </w:rPr>
              <w:t>NU ESTE CAZUL</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p>
          <w:p>
            <w:pPr>
              <w:spacing w:line="360" w:lineRule="auto"/>
              <w:ind w:left="0" w:right="0" w:firstLine="493"/>
            </w:pPr>
            <w:r>
              <w:rPr>
                <w:rFonts w:ascii="Cambria Bold" w:hAnsi="Cambria Bold"/>
                <w:b/>
                <w:color w:val="014935"/>
                <w:sz w:val="24"/>
              </w:rPr>
              <w:t>PROIECTUL VA FI INOVATIV IN CONTEXT LOCAL;</w:t>
            </w:r>
          </w:p>
        </w:tc>
        <w:tc>
          <w:tcPr>
            <w:shd w:val="clear" w:color="auto" w:fill="CCE1DB"/>
            <w:vAlign w:val="center"/>
          </w:tcPr>
          <w:p>
            <w:pPr>
              <w:spacing w:line="360" w:lineRule="auto"/>
              <w:ind w:left="0" w:right="0" w:firstLine="493"/>
            </w:pPr>
            <w:r>
              <w:rPr>
                <w:rFonts w:ascii="Cambria Bold" w:hAnsi="Cambria Bold"/>
                <w:b/>
                <w:color w:val="014935"/>
                <w:sz w:val="24"/>
              </w:rPr>
              <w:t>50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1.1  </w:t>
            </w:r>
          </w:p>
        </w:tc>
        <w:tc>
          <w:tcPr>
            <w:shd w:val="clear" w:color="auto" w:fill="F8ECD2"/>
            <w:vAlign w:val="center"/>
          </w:tcPr>
          <w:p>
            <w:r>
              <w:rPr>
                <w:rFonts w:ascii="Cambria" w:hAnsi="Cambria"/>
                <w:b w:val="false"/>
                <w:color w:val="58400C"/>
                <w:sz w:val="24"/>
              </w:rPr>
              <w:t>Introducere de tehnologii noi pentru teritoriu + componente digitale integrate  </w:t>
            </w:r>
          </w:p>
        </w:tc>
        <w:tc>
          <w:tcPr>
            <w:vAlign w:val="center"/>
          </w:tcPr>
          <w:p>
            <w:pPr>
              <w:keepNext/>
              <w:jc w:val="center"/>
            </w:pPr>
            <w:r>
              <w:rPr>
                <w:rFonts w:ascii="Cambria" w:hAnsi="Cambria"/>
                <w:b w:val="false"/>
                <w:sz w:val="24"/>
              </w:rPr>
              <w:t>50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Expertul va verifica dacă proiectul propune o soluție tehnologică care nu mai există în prezent în comunitate și dacă această tehnologie este interconectată cu o componentă digitală avansată ( de ex.: automatizare, colectare de date în timp real, software de management inteligent, senzori IoT). Se va analiza dacă soluția creează un ecosistem „smart” (de exemplu: stâlpi de iluminat public smart care integrează camere de supraveghere, senzori de mediu și dispecerat digital centralizat)</w:t>
            </w:r>
          </w:p>
          <w:p>
            <w:pPr>
              <w:spacing w:line="360" w:lineRule="auto"/>
              <w:ind w:left="0" w:right="0" w:firstLine="493"/>
            </w:pPr>
            <w:r>
              <w:rPr>
                <w:rFonts w:ascii="Cambria Bold" w:hAnsi="Cambria Bold"/>
                <w:b/>
                <w:sz w:val="24"/>
              </w:rPr>
              <w:t>Se verifică</w:t>
            </w:r>
          </w:p>
          <w:p>
            <w:pPr>
              <w:pStyle w:val="ListParagraph"/>
              <w:numPr>
                <w:ilvl w:val="0"/>
                <w:numId w:val="2"/>
              </w:numPr>
            </w:pPr>
            <w:r>
              <w:rPr>
                <w:rFonts w:ascii="Cambria" w:hAnsi="Cambria"/>
                <w:b w:val="false"/>
                <w:sz w:val="24"/>
              </w:rPr>
              <w:t>Studiul de fezabilitate / DALI / memoriul justificativ anexa la cererea de finantare.</w:t>
            </w:r>
          </w:p>
          <w:p>
            <w:pPr>
              <w:pStyle w:val="ListParagraph"/>
              <w:numPr>
                <w:ilvl w:val="0"/>
                <w:numId w:val="2"/>
              </w:numPr>
            </w:pPr>
            <w:r>
              <w:rPr>
                <w:rFonts w:ascii="Cambria" w:hAnsi="Cambria"/>
                <w:b w:val="false"/>
                <w:sz w:val="24"/>
              </w:rPr>
              <w:t>Oferte si documente privind specificatiile tehnice ale activelor corporale si necorporale care vor fi achizitionate prin proiect.</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1.2</w:t>
            </w:r>
          </w:p>
        </w:tc>
        <w:tc>
          <w:tcPr>
            <w:shd w:val="clear" w:color="auto" w:fill="F8ECD2"/>
            <w:vAlign w:val="center"/>
          </w:tcPr>
          <w:p>
            <w:r>
              <w:rPr>
                <w:rFonts w:ascii="Cambria" w:hAnsi="Cambria"/>
                <w:b w:val="false"/>
                <w:color w:val="58400C"/>
                <w:sz w:val="24"/>
              </w:rPr>
              <w:t>Introducere de tehnologii noi, fără componentă digitală majoră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Expertul va verifica dacă proiectul aduce o tehnologie premieră pentru comuna, dar care se bazează pe inovație mecanică, structurală sau de mediu, fără a fi dependentă de o infrastructură software complexă sau de transmitere de date în timp real (de exemplu: sisteme noi de filtrare ecologică a apei, extinderi de rețele cu materiale inovatoare de înaltă rezistență, utilizate pentru prima dată în teritoriu)</w:t>
            </w:r>
          </w:p>
          <w:p>
            <w:pPr>
              <w:spacing w:line="360" w:lineRule="auto"/>
              <w:ind w:left="0" w:right="0" w:firstLine="493"/>
            </w:pPr>
            <w:r>
              <w:rPr>
                <w:rFonts w:ascii="Cambria Bold" w:hAnsi="Cambria Bold"/>
                <w:b/>
                <w:sz w:val="24"/>
              </w:rPr>
              <w:t>Se verifică</w:t>
            </w:r>
          </w:p>
          <w:p>
            <w:pPr>
              <w:pStyle w:val="ListParagraph"/>
              <w:numPr>
                <w:ilvl w:val="0"/>
                <w:numId w:val="2"/>
              </w:numPr>
            </w:pPr>
            <w:r>
              <w:rPr>
                <w:rFonts w:ascii="Cambria" w:hAnsi="Cambria"/>
                <w:b w:val="false"/>
                <w:sz w:val="24"/>
              </w:rPr>
              <w:t>Studiul de fezabilitate / DALI / memoriul justificativ anexa la cererea de finantare.</w:t>
            </w:r>
          </w:p>
          <w:p>
            <w:pPr>
              <w:pStyle w:val="ListParagraph"/>
              <w:numPr>
                <w:ilvl w:val="0"/>
                <w:numId w:val="2"/>
              </w:numPr>
            </w:pPr>
            <w:r>
              <w:rPr>
                <w:rFonts w:ascii="Cambria" w:hAnsi="Cambria"/>
                <w:b w:val="false"/>
                <w:sz w:val="24"/>
              </w:rPr>
              <w:t>Oferte si documente privind specificatiile tehnice ale activelor corporale si necorporale care vor fi achizitionate prin proiect.</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1.3</w:t>
            </w:r>
          </w:p>
        </w:tc>
        <w:tc>
          <w:tcPr>
            <w:shd w:val="clear" w:color="auto" w:fill="F8ECD2"/>
            <w:vAlign w:val="center"/>
          </w:tcPr>
          <w:p>
            <w:r>
              <w:rPr>
                <w:rFonts w:ascii="Cambria" w:hAnsi="Cambria"/>
                <w:b w:val="false"/>
                <w:color w:val="58400C"/>
                <w:sz w:val="24"/>
              </w:rPr>
              <w:t>Modernizare tehnologică moderată, tehnologie deja existentă în teritoriu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Expertul va verifica dacă proiectul reprezintă o extindere, înlocuire sau upgrade al unui sistem care există deja în comunitate, dar care aduce un plus de eficiență (de exemplu: înlocuirea corpurilor de iluminat clasice cu lămpi LED, adăugarea de noi camere video într-un sistem de supraveghere deja funcțional, sau achiziția de licențe suplimentare pentru un software pe care primăria îl utilizează deja). Inovația este considerată moderată deoarece nu schimbă fundamental modul de lucru, ci doar extinde o infrastructură existentă</w:t>
            </w:r>
          </w:p>
          <w:p>
            <w:pPr>
              <w:spacing w:line="360" w:lineRule="auto"/>
              <w:ind w:left="0" w:right="0" w:firstLine="493"/>
            </w:pPr>
            <w:r>
              <w:rPr>
                <w:rFonts w:ascii="Cambria Bold" w:hAnsi="Cambria Bold"/>
                <w:b/>
                <w:sz w:val="24"/>
              </w:rPr>
              <w:t>Se verifică</w:t>
            </w:r>
          </w:p>
          <w:p>
            <w:pPr>
              <w:pStyle w:val="ListParagraph"/>
              <w:numPr>
                <w:ilvl w:val="0"/>
                <w:numId w:val="2"/>
              </w:numPr>
            </w:pPr>
            <w:r>
              <w:rPr>
                <w:rFonts w:ascii="Cambria" w:hAnsi="Cambria"/>
                <w:b w:val="false"/>
                <w:sz w:val="24"/>
              </w:rPr>
              <w:t>Studiul de fezabilitate / DALI / memoriul justificativ anexa la cererea de finantare.</w:t>
            </w:r>
          </w:p>
          <w:p>
            <w:pPr>
              <w:pStyle w:val="ListParagraph"/>
              <w:numPr>
                <w:ilvl w:val="0"/>
                <w:numId w:val="2"/>
              </w:numPr>
            </w:pPr>
            <w:r>
              <w:rPr>
                <w:rFonts w:ascii="Cambria Bold" w:hAnsi="Cambria Bold"/>
                <w:b/>
                <w:sz w:val="24"/>
              </w:rPr>
              <w:t>Inventarul/Situația activelor existente:</w:t>
            </w:r>
            <w:r>
              <w:rPr>
                <w:rFonts w:ascii="Cambria" w:hAnsi="Cambria"/>
                <w:b w:val="false"/>
                <w:sz w:val="24"/>
              </w:rPr>
              <w:t> Document care să arate că proiectul se grefează pe o infrastructură deja administrată de solicitant (ex: hotărâre de consiliu local privind rețeaua existentă).</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p>
          <w:p>
            <w:pPr>
              <w:spacing w:line="360" w:lineRule="auto"/>
              <w:ind w:left="0" w:right="0" w:firstLine="493"/>
            </w:pPr>
            <w:r>
              <w:rPr>
                <w:rFonts w:ascii="Cambria Bold" w:hAnsi="Cambria Bold"/>
                <w:b/>
                <w:color w:val="014935"/>
                <w:sz w:val="24"/>
              </w:rPr>
              <w:t>PROIECTUL SA ADUCA BENEFICII COMUNITATII LOCALE;</w:t>
            </w:r>
          </w:p>
        </w:tc>
        <w:tc>
          <w:tcPr>
            <w:shd w:val="clear" w:color="auto" w:fill="CCE1DB"/>
            <w:vAlign w:val="center"/>
          </w:tcPr>
          <w:p>
            <w:pPr>
              <w:spacing w:line="360" w:lineRule="auto"/>
              <w:ind w:left="0" w:right="0" w:firstLine="493"/>
            </w:pPr>
            <w:r>
              <w:rPr>
                <w:rFonts w:ascii="Cambria Bold" w:hAnsi="Cambria Bold"/>
                <w:b/>
                <w:color w:val="014935"/>
                <w:sz w:val="24"/>
              </w:rPr>
              <w:t>50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2.1</w:t>
            </w:r>
          </w:p>
        </w:tc>
        <w:tc>
          <w:tcPr>
            <w:shd w:val="clear" w:color="auto" w:fill="F8ECD2"/>
            <w:vAlign w:val="center"/>
          </w:tcPr>
          <w:p>
            <w:r>
              <w:rPr>
                <w:rFonts w:ascii="Cambria" w:hAnsi="Cambria"/>
                <w:b w:val="false"/>
                <w:color w:val="58400C"/>
                <w:sz w:val="24"/>
              </w:rPr>
              <w:t> Diversitatea beneficiilor generate (Impact multi-sectorial).</w:t>
            </w:r>
          </w:p>
        </w:tc>
        <w:tc>
          <w:tcPr>
            <w:vAlign w:val="center"/>
          </w:tcPr>
          <w:p>
            <w:pPr>
              <w:keepNext/>
              <w:jc w:val="center"/>
            </w:pPr>
            <w:r>
              <w:rPr>
                <w:rFonts w:ascii="Cambria" w:hAnsi="Cambria"/>
                <w:b w:val="false"/>
                <w:sz w:val="24"/>
              </w:rPr>
              <w:t>50</w:t>
            </w:r>
          </w:p>
        </w:tc>
        <w:tc>
          <w:tcPr>
            <w:vAlign w:val="center"/>
          </w:tcPr>
          <w:p/>
        </w:tc>
        <w:tc>
          <w:tcPr>
            <w:vAlign w:val="center"/>
          </w:tcPr>
          <w:p/>
        </w:tc>
      </w:tr>
      <w:tr>
        <w:trPr/>
        <w:tc>
          <w:tcPr>
            <w:gridSpan w:val="5"/>
            <w:shd w:val="clear" w:color="auto" w:fill="DDDDDD"/>
            <w:vAlign w:val="center"/>
          </w:tcPr>
          <w:p>
            <w:r>
              <w:rPr>
                <w:rFonts w:ascii="Cambria" w:hAnsi="Cambria"/>
                <w:b w:val="false"/>
                <w:sz w:val="24"/>
              </w:rPr>
              <w:t>Expertul evaluator va verifica și va evalua în ce măsură soluția „smart” propusă rezolvă mai multe probleme ale comunității simultan – cel puțin două domenii diferite (de ex: siguranță publică, mediu, eficiență energetică, transport/trafic sau economie). Proiectul trebuie să genereze beneficii multiple demonstrate (ex: un sistem integrat de gestiune și stocare internă care eficientizează atât serviciul de Taxe și Impozite, cât și serviciul de Urbanism/Registru Agricol, asigurând în același timp securitatea datelor.</w:t>
            </w:r>
            <w:r>
              <w:rPr>
                <w:rFonts w:ascii="Cambria Bold" w:hAnsi="Cambria Bold"/>
                <w:b/>
                <w:sz w:val="24"/>
              </w:rPr>
              <w:t>Documente obligatorii</w:t>
            </w:r>
            <w:r>
              <w:rPr>
                <w:rFonts w:ascii="Cambria" w:hAnsi="Cambria"/>
                <w:b w:val="false"/>
                <w:sz w:val="24"/>
              </w:rPr>
              <w:t>:</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SF/DALI/MJ (dacă este cazul);</w:t>
            </w:r>
          </w:p>
          <w:p>
            <w:pPr>
              <w:pStyle w:val="ListParagraph"/>
              <w:numPr>
                <w:ilvl w:val="0"/>
                <w:numId w:val="2"/>
              </w:numPr>
            </w:pPr>
            <w:r>
              <w:rPr>
                <w:rFonts w:ascii="Cambria" w:hAnsi="Cambria"/>
                <w:b w:val="false"/>
                <w:sz w:val="24"/>
              </w:rPr>
              <w:t>Hotărârea de aprobare a proiectului.</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2.2</w:t>
            </w:r>
          </w:p>
        </w:tc>
        <w:tc>
          <w:tcPr>
            <w:shd w:val="clear" w:color="auto" w:fill="F8ECD2"/>
            <w:vAlign w:val="center"/>
          </w:tcPr>
          <w:p>
            <w:pPr>
              <w:spacing w:line="360" w:lineRule="auto"/>
              <w:ind w:left="0" w:right="0" w:firstLine="493"/>
            </w:pPr>
            <w:r>
              <w:rPr>
                <w:rFonts w:ascii="Cambria" w:hAnsi="Cambria"/>
                <w:b w:val="false"/>
                <w:color w:val="58400C"/>
                <w:sz w:val="24"/>
              </w:rPr>
              <w:t>Facilitarea accesului la servicii publice (Digitalizare și Incluziune)</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Expertul evaluator va verifica dacă proiectul propune soluții digitale care contribuie direct la reducerea birocrației, optimizarea timpului de răspuns și modernizarea administrației publice în sprijinul comunității. Se acordă punctajul maxim prevăzut indiferent dacă investiția vizează modernizarea proceselor interne ale instituției (sisteme de gestiune, stocare de date și interconectare back-office între departamente) sau dacă include și o interfață digitală directă destinată cetățenilor (portal front-office, depunere online). Ambele tipuri de abordări sunt recunoscute ca având același impact pozitiv asupra creșterii eficienței serviciilor publice.</w:t>
            </w:r>
          </w:p>
          <w:p>
            <w:pPr>
              <w:spacing w:line="360" w:lineRule="auto"/>
              <w:ind w:left="0" w:right="0" w:firstLine="493"/>
            </w:pPr>
            <w:r>
              <w:rPr>
                <w:rFonts w:ascii="Cambria" w:hAnsi="Cambria"/>
                <w:b w:val="false"/>
                <w:sz w:val="24"/>
              </w:rPr>
              <w:t>  </w:t>
            </w:r>
          </w:p>
          <w:p>
            <w:pPr>
              <w:spacing w:line="360" w:lineRule="auto"/>
              <w:ind w:left="0" w:right="0" w:firstLine="493"/>
            </w:pPr>
            <w:r>
              <w:rPr>
                <w:rFonts w:ascii="Cambria Bold" w:hAnsi="Cambria Bold"/>
                <w:b/>
                <w:sz w:val="24"/>
              </w:rPr>
              <w:t>Documente obligatorii</w:t>
            </w:r>
            <w:r>
              <w:rPr>
                <w:rFonts w:ascii="Cambria" w:hAnsi="Cambria"/>
                <w:b w:val="false"/>
                <w:sz w:val="24"/>
              </w:rPr>
              <w:t>:</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SF/DALI/MJ (dacă este cazul);</w:t>
            </w:r>
          </w:p>
          <w:p>
            <w:pPr>
              <w:pStyle w:val="ListParagraph"/>
              <w:numPr>
                <w:ilvl w:val="0"/>
                <w:numId w:val="2"/>
              </w:numPr>
            </w:pPr>
            <w:r>
              <w:rPr>
                <w:rFonts w:ascii="Cambria" w:hAnsi="Cambria"/>
                <w:b w:val="false"/>
                <w:sz w:val="24"/>
              </w:rPr>
              <w:t>Hotărârea de aprobare a proiectului.</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2.3</w:t>
            </w:r>
          </w:p>
        </w:tc>
        <w:tc>
          <w:tcPr>
            <w:shd w:val="clear" w:color="auto" w:fill="F8ECD2"/>
            <w:vAlign w:val="center"/>
          </w:tcPr>
          <w:p>
            <w:pPr>
              <w:spacing w:line="360" w:lineRule="auto"/>
              <w:ind w:left="0" w:right="0" w:firstLine="493"/>
            </w:pPr>
            <w:r>
              <w:rPr>
                <w:rFonts w:ascii="Cambria" w:hAnsi="Cambria"/>
                <w:b w:val="false"/>
                <w:color w:val="58400C"/>
                <w:sz w:val="24"/>
              </w:rPr>
              <w:t>Corelarea investiției cu strategiile de dezvoltare locale (Planificarea strategică a beneficiilor)</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Expertul evaluator va verifica în ce măsură proiectul propus este prevăzut, menționat sau corelat cu obiectivele stabilite în documentele strategice oficiale ale solicitantului (Strategia de Dezvoltare Locală a UAT-ului/ Strategia Smart City/Smart Village, sau Strategia de Dezvoltare a Județului)</w:t>
            </w:r>
          </w:p>
          <w:p>
            <w:r>
              <w:rPr>
                <w:rFonts w:ascii="Cambria Bold" w:hAnsi="Cambria Bold"/>
                <w:b/>
                <w:sz w:val="24"/>
              </w:rPr>
              <w:t>Documente obligatorii</w:t>
            </w:r>
            <w:r>
              <w:rPr>
                <w:rFonts w:ascii="Cambria" w:hAnsi="Cambria"/>
                <w:b w:val="false"/>
                <w:sz w:val="24"/>
              </w:rPr>
              <w:t>:</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SF/DALI/MJ (dacă este cazul);</w:t>
            </w:r>
          </w:p>
          <w:p>
            <w:pPr>
              <w:pStyle w:val="ListParagraph"/>
              <w:numPr>
                <w:ilvl w:val="0"/>
                <w:numId w:val="2"/>
              </w:numPr>
            </w:pPr>
            <w:r>
              <w:rPr>
                <w:rFonts w:ascii="Cambria" w:hAnsi="Cambria"/>
                <w:b w:val="false"/>
                <w:sz w:val="24"/>
              </w:rPr>
              <w:t>Hotărârea de aprobare a proiectului.</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p>
          <w:p>
            <w:pPr>
              <w:spacing w:line="360" w:lineRule="auto"/>
              <w:ind w:left="0" w:right="0" w:firstLine="493"/>
            </w:pPr>
            <w:r>
              <w:rPr>
                <w:rFonts w:ascii="Cambria Bold" w:hAnsi="Cambria Bold"/>
                <w:b/>
                <w:color w:val="014935"/>
                <w:sz w:val="24"/>
              </w:rPr>
              <w:t>SE ADAUGA PRINCIPII DE SELECTIE LOCALE SPECIFICE IN CADRUL SECTIUNII "ELEMENTE COMUNE TIPURILOR DE INTREVENTIE FEADR DESCRISE IN SDL"</w:t>
            </w:r>
          </w:p>
        </w:tc>
        <w:tc>
          <w:tcPr>
            <w:shd w:val="clear" w:color="auto" w:fill="CCE1DB"/>
            <w:vAlign w:val="center"/>
          </w:tcPr>
          <w:p>
            <w:pPr>
              <w:spacing w:line="360" w:lineRule="auto"/>
              <w:ind w:left="0" w:right="0" w:firstLine="493"/>
            </w:pPr>
            <w:r>
              <w:rPr>
                <w:rFonts w:ascii="Cambria Bold" w:hAnsi="Cambria Bold"/>
                <w:b/>
                <w:color w:val="014935"/>
                <w:sz w:val="24"/>
              </w:rPr>
              <w:t>00</w:t>
            </w:r>
          </w:p>
        </w:tc>
        <w:tc>
          <w:tcPr>
            <w:shd w:val="clear" w:color="auto" w:fill="CCE1DB"/>
            <w:vAlign w:val="center"/>
          </w:tcPr>
          <w:p/>
        </w:tc>
        <w:tc>
          <w:tcPr>
            <w:shd w:val="clear" w:color="auto" w:fill="CCE1DB"/>
            <w:vAlign w:val="center"/>
          </w:tcPr>
          <w:p/>
        </w:tc>
      </w:tr>
      <w:tr>
        <w:trPr/>
        <w:tc>
          <w:tcPr>
            <w:shd w:val="clear" w:color="auto" w:fill="F8ECD2"/>
            <w:vAlign w:val="center"/>
          </w:tcPr>
          <w:p/>
        </w:tc>
        <w:tc>
          <w:tcPr>
            <w:shd w:val="clear" w:color="auto" w:fill="F8ECD2"/>
            <w:vAlign w:val="center"/>
          </w:tcPr>
          <w:p>
            <w:r>
              <w:rPr>
                <w:rFonts w:ascii="Cambria" w:hAnsi="Cambria"/>
                <w:b w:val="false"/>
                <w:color w:val="58400C"/>
                <w:sz w:val="24"/>
              </w:rPr>
              <w:t>NU ESTE CAZUL</w:t>
            </w:r>
          </w:p>
        </w:tc>
        <w:tc>
          <w:tcPr>
            <w:vAlign w:val="center"/>
          </w:tcPr>
          <w:p>
            <w:pPr>
              <w:keepNext/>
              <w:jc w:val="center"/>
            </w:pPr>
            <w:r>
              <w:rPr>
                <w:rFonts w:ascii="Cambria" w:hAnsi="Cambria"/>
                <w:b w:val="false"/>
                <w:sz w:val="24"/>
              </w:rPr>
              <w:t>00</w:t>
            </w:r>
          </w:p>
        </w:tc>
        <w:tc>
          <w:tcPr>
            <w:vAlign w:val="center"/>
          </w:tcPr>
          <w:p/>
        </w:tc>
        <w:tc>
          <w:tcPr>
            <w:vAlign w:val="center"/>
          </w:tcPr>
          <w:p/>
        </w:tc>
      </w:tr>
      <w:tr>
        <w:trPr/>
        <w:tc>
          <w:tcPr>
            <w:gridSpan w:val="5"/>
            <w:shd w:val="clear" w:color="auto" w:fill="DDDDDD"/>
            <w:vAlign w:val="center"/>
          </w:tcPr>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Îndeplinit</w:t>
            </w:r>
            <w:r>
              <w:rPr>
                <w:rFonts w:ascii="Cambria Bold" w:hAnsi="Cambria Bold"/>
                <w:b/>
                <w:color w:val="FFFFFF"/>
                <w:sz w:val="24"/>
              </w:rPr>
              <w:br/>
            </w:r>
            <w:r>
              <w:rPr>
                <w:rFonts w:ascii="Cambria Bold" w:hAnsi="Cambria Bold"/>
                <w:b/>
                <w:color w:val="FFFFFF"/>
                <w:sz w:val="24"/>
              </w:rPr>
              <w:t>DA/NU</w:t>
            </w:r>
          </w:p>
        </w:tc>
        <w:tc>
          <w:tcPr>
            <w:tcW w:w="750" w:type="pct"/>
            <w:shd w:val="clear" w:color="auto" w:fill="015840"/>
            <w:vAlign w:val="center"/>
          </w:tcPr>
          <w:p>
            <w:pPr>
              <w:keepNext/>
              <w:jc w:val="center"/>
            </w:pPr>
            <w:r>
              <w:rPr>
                <w:rFonts w:ascii="Cambria Bold" w:hAnsi="Cambria Bold"/>
                <w:b/>
                <w:color w:val="FFFFFF"/>
                <w:sz w:val="24"/>
              </w:rPr>
              <w:t>Valoare</w:t>
            </w:r>
            <w:r>
              <w:rPr>
                <w:rFonts w:ascii="Cambria Bold" w:hAnsi="Cambria Bold"/>
                <w:b/>
                <w:color w:val="FFFFFF"/>
                <w:sz w:val="24"/>
              </w:rPr>
              <w:br/>
            </w:r>
            <w:r>
              <w:rPr>
                <w:rFonts w:ascii="Cambria Bold" w:hAnsi="Cambria Bold"/>
                <w:b/>
                <w:color w:val="FFFFFF"/>
                <w:sz w:val="24"/>
              </w:rPr>
              <w:t>(dacă este cazul)</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îndeplinirii</w:t>
            </w:r>
          </w:p>
        </w:tc>
      </w:tr>
      <w:tr>
        <w:trPr/>
        <w:tc>
          <w:tcPr>
            <w:shd w:val="clear" w:color="auto" w:fill="F8ECD2"/>
            <w:vAlign w:val="center"/>
          </w:tcPr>
          <w:p>
            <w:r>
              <w:rPr>
                <w:rFonts w:ascii="Cambria" w:hAnsi="Cambria"/>
                <w:b w:val="false"/>
                <w:color w:val="58400C"/>
                <w:sz w:val="24"/>
              </w:rPr>
              <w:t>CD </w:t>
            </w:r>
            <w:r>
              <w:rPr>
                <w:rFonts w:ascii="Cambria" w:hAnsi="Cambria"/>
                <w:b w:val="false"/>
                <w:color w:val="58400C"/>
                <w:sz w:val="24"/>
              </w:rPr>
              <w:t>CD 1  </w:t>
            </w:r>
          </w:p>
        </w:tc>
        <w:tc>
          <w:tcPr>
            <w:shd w:val="clear" w:color="auto" w:fill="F8ECD2"/>
            <w:vAlign w:val="center"/>
          </w:tcPr>
          <w:p>
            <w:r>
              <w:rPr>
                <w:rFonts w:ascii="Cambria" w:hAnsi="Cambria"/>
                <w:b w:val="false"/>
                <w:color w:val="58400C"/>
                <w:sz w:val="24"/>
              </w:rPr>
              <w:t>Numărul de persoane care vorbeneficia de acces îmbunătățit laservicii</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Se acordă prioritate proiectelor care deservesc în mod direct un număr cât mai mare de persoane - minimum 6.000 persoaneDocumente obligatorii:- Cererea de finanțare;- SF/DALI/MJ (dacă este cazul);- Hotărârea pentru implementarea proiectului- Anexa 9 - Indicatori de rezultat si de realizare care nu se regăsesc în CF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 w:numId="3">
    <w:abstractNumId w:val="1"/>
    <w:lvlOverride w:ilvl="0">
      <w:startOverride w:val="1"/>
    </w:lvlOverride>
  </w:num>
  <w:num w:numId="4">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231c80e472e64690" /><Relationship Type="http://schemas.openxmlformats.org/officeDocument/2006/relationships/numbering" Target="/word/numbering.xml" Id="R46cc198c3a014b26" /></Relationships>
</file>